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left" w:pos="5900"/>
        </w:tabs>
        <w:spacing w:line="240" w:lineRule="auto"/>
        <w:jc w:val="center"/>
        <w:rPr>
          <w:b w:val="1"/>
          <w:color w:val="ff0000"/>
          <w:sz w:val="44"/>
          <w:szCs w:val="44"/>
        </w:rPr>
      </w:pPr>
      <w:r w:rsidDel="00000000" w:rsidR="00000000" w:rsidRPr="00000000">
        <w:rPr>
          <w:rtl w:val="0"/>
        </w:rPr>
      </w:r>
    </w:p>
    <w:tbl>
      <w:tblPr>
        <w:tblStyle w:val="Table1"/>
        <w:tblW w:w="1008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30"/>
        <w:gridCol w:w="5850"/>
        <w:tblGridChange w:id="0">
          <w:tblGrid>
            <w:gridCol w:w="4230"/>
            <w:gridCol w:w="5850"/>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02">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724"/>
              </w:tabs>
              <w:spacing w:after="200" w:line="240" w:lineRule="auto"/>
              <w:jc w:val="center"/>
              <w:rPr>
                <w:b w:val="1"/>
                <w:color w:val="ff0000"/>
                <w:sz w:val="44"/>
                <w:szCs w:val="44"/>
              </w:rPr>
            </w:pPr>
            <w:r w:rsidDel="00000000" w:rsidR="00000000" w:rsidRPr="00000000">
              <w:rPr>
                <w:rFonts w:ascii="Calibri" w:cs="Calibri" w:eastAsia="Calibri" w:hAnsi="Calibri"/>
                <w:color w:val="167fa8"/>
                <w:sz w:val="36"/>
                <w:szCs w:val="36"/>
              </w:rPr>
              <w:drawing>
                <wp:inline distB="114300" distT="114300" distL="114300" distR="114300">
                  <wp:extent cx="2195513" cy="1149214"/>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195513" cy="1149214"/>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03">
            <w:pPr>
              <w:tabs>
                <w:tab w:val="left" w:pos="5900"/>
              </w:tabs>
              <w:spacing w:line="240" w:lineRule="auto"/>
              <w:jc w:val="center"/>
              <w:rPr>
                <w:b w:val="1"/>
                <w:color w:val="167fa8"/>
                <w:sz w:val="44"/>
                <w:szCs w:val="44"/>
              </w:rPr>
            </w:pPr>
            <w:r w:rsidDel="00000000" w:rsidR="00000000" w:rsidRPr="00000000">
              <w:rPr>
                <w:rFonts w:ascii="Calibri" w:cs="Calibri" w:eastAsia="Calibri" w:hAnsi="Calibri"/>
                <w:b w:val="1"/>
                <w:color w:val="167fa8"/>
                <w:sz w:val="44"/>
                <w:szCs w:val="44"/>
                <w:rtl w:val="0"/>
              </w:rPr>
              <w:t xml:space="preserve">EDUX 9955</w:t>
              <w:br w:type="textWrapping"/>
            </w:r>
            <w:r w:rsidDel="00000000" w:rsidR="00000000" w:rsidRPr="00000000">
              <w:rPr>
                <w:rFonts w:ascii="Calibri" w:cs="Calibri" w:eastAsia="Calibri" w:hAnsi="Calibri"/>
                <w:b w:val="1"/>
                <w:color w:val="167fa8"/>
                <w:sz w:val="38"/>
                <w:szCs w:val="38"/>
                <w:rtl w:val="0"/>
              </w:rPr>
              <w:t xml:space="preserve">Powerful Possibilities: Navigating YOUR 2021-2022 School Year</w:t>
            </w:r>
            <w:r w:rsidDel="00000000" w:rsidR="00000000" w:rsidRPr="00000000">
              <w:rPr>
                <w:rtl w:val="0"/>
              </w:rPr>
            </w:r>
          </w:p>
        </w:tc>
      </w:tr>
      <w:tr>
        <w:trPr>
          <w:trHeight w:val="640" w:hRule="atLeast"/>
        </w:trPr>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4">
            <w:pPr>
              <w:tabs>
                <w:tab w:val="left" w:pos="5900"/>
              </w:tabs>
              <w:spacing w:line="240" w:lineRule="auto"/>
              <w:jc w:val="center"/>
              <w:rPr>
                <w:b w:val="1"/>
                <w:sz w:val="50"/>
                <w:szCs w:val="50"/>
              </w:rPr>
            </w:pPr>
            <w:r w:rsidDel="00000000" w:rsidR="00000000" w:rsidRPr="00000000">
              <w:rPr>
                <w:b w:val="1"/>
                <w:sz w:val="50"/>
                <w:szCs w:val="50"/>
                <w:rtl w:val="0"/>
              </w:rPr>
              <w:t xml:space="preserve">Guided Reflection</w:t>
            </w:r>
          </w:p>
        </w:tc>
      </w:tr>
    </w:tbl>
    <w:p w:rsidR="00000000" w:rsidDel="00000000" w:rsidP="00000000" w:rsidRDefault="00000000" w:rsidRPr="00000000" w14:paraId="00000006">
      <w:pPr>
        <w:tabs>
          <w:tab w:val="left" w:pos="5900"/>
        </w:tabs>
        <w:spacing w:line="240" w:lineRule="auto"/>
        <w:rPr>
          <w:rFonts w:ascii="Calibri" w:cs="Calibri" w:eastAsia="Calibri" w:hAnsi="Calibri"/>
          <w:color w:val="167fa8"/>
          <w:sz w:val="36"/>
          <w:szCs w:val="36"/>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276" w:lineRule="auto"/>
        <w:rPr>
          <w:sz w:val="18"/>
          <w:szCs w:val="18"/>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276" w:lineRule="auto"/>
        <w:rPr>
          <w:sz w:val="24"/>
          <w:szCs w:val="24"/>
        </w:rPr>
      </w:pPr>
      <w:r w:rsidDel="00000000" w:rsidR="00000000" w:rsidRPr="00000000">
        <w:rPr>
          <w:sz w:val="24"/>
          <w:szCs w:val="24"/>
          <w:rtl w:val="0"/>
        </w:rPr>
        <w:t xml:space="preserve">Use this template to write your reflections of your work in EDUX 9955.  Your Guided Reflection must include both sections.  Please note that there is one required chart that needs to be completed in Section 2.</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276" w:lineRule="auto"/>
        <w:rPr>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276" w:lineRule="auto"/>
        <w:rPr>
          <w:sz w:val="24"/>
          <w:szCs w:val="24"/>
        </w:rPr>
      </w:pPr>
      <w:r w:rsidDel="00000000" w:rsidR="00000000" w:rsidRPr="00000000">
        <w:rPr>
          <w:sz w:val="24"/>
          <w:szCs w:val="24"/>
          <w:rtl w:val="0"/>
        </w:rPr>
        <w:t xml:space="preserve">Please note, the Guided Reflection is NOT a summary of all your work, but a </w:t>
      </w:r>
      <w:r w:rsidDel="00000000" w:rsidR="00000000" w:rsidRPr="00000000">
        <w:rPr>
          <w:b w:val="1"/>
          <w:sz w:val="24"/>
          <w:szCs w:val="24"/>
          <w:rtl w:val="0"/>
        </w:rPr>
        <w:t xml:space="preserve">synthesis</w:t>
      </w:r>
      <w:r w:rsidDel="00000000" w:rsidR="00000000" w:rsidRPr="00000000">
        <w:rPr>
          <w:sz w:val="24"/>
          <w:szCs w:val="24"/>
          <w:rtl w:val="0"/>
        </w:rPr>
        <w:t xml:space="preserve"> of the learning you engaged in throughout this course. </w:t>
      </w:r>
      <w:r w:rsidDel="00000000" w:rsidR="00000000" w:rsidRPr="00000000">
        <w:rPr>
          <w:sz w:val="24"/>
          <w:szCs w:val="24"/>
          <w:rtl w:val="0"/>
        </w:rPr>
        <w:t xml:space="preserve">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276" w:lineRule="auto"/>
        <w:rPr>
          <w:sz w:val="24"/>
          <w:szCs w:val="24"/>
        </w:rPr>
      </w:pPr>
      <w:r w:rsidDel="00000000" w:rsidR="00000000" w:rsidRPr="00000000">
        <w:rPr>
          <w:rtl w:val="0"/>
        </w:rPr>
      </w:r>
    </w:p>
    <w:p w:rsidR="00000000" w:rsidDel="00000000" w:rsidP="00000000" w:rsidRDefault="00000000" w:rsidRPr="00000000" w14:paraId="0000000C">
      <w:pPr>
        <w:rPr>
          <w:b w:val="1"/>
          <w:i w:val="1"/>
          <w:color w:val="212121"/>
          <w:sz w:val="16"/>
          <w:szCs w:val="16"/>
          <w:highlight w:val="white"/>
        </w:rPr>
      </w:pPr>
      <w:r w:rsidDel="00000000" w:rsidR="00000000" w:rsidRPr="00000000">
        <w:rPr>
          <w:rtl w:val="0"/>
        </w:rPr>
      </w:r>
    </w:p>
    <w:p w:rsidR="00000000" w:rsidDel="00000000" w:rsidP="00000000" w:rsidRDefault="00000000" w:rsidRPr="00000000" w14:paraId="0000000D">
      <w:pPr>
        <w:rPr/>
      </w:pPr>
      <w:r w:rsidDel="00000000" w:rsidR="00000000" w:rsidRPr="00000000">
        <w:rPr>
          <w:b w:val="1"/>
          <w:color w:val="212121"/>
          <w:sz w:val="24"/>
          <w:szCs w:val="24"/>
          <w:highlight w:val="white"/>
          <w:rtl w:val="0"/>
        </w:rPr>
        <w:t xml:space="preserve">Section 1</w:t>
      </w:r>
      <w:r w:rsidDel="00000000" w:rsidR="00000000" w:rsidRPr="00000000">
        <w:rPr>
          <w:b w:val="1"/>
          <w:i w:val="1"/>
          <w:color w:val="212121"/>
          <w:sz w:val="24"/>
          <w:szCs w:val="24"/>
          <w:highlight w:val="white"/>
          <w:rtl w:val="0"/>
        </w:rPr>
        <w:t xml:space="preserve"> - </w:t>
      </w:r>
      <w:r w:rsidDel="00000000" w:rsidR="00000000" w:rsidRPr="00000000">
        <w:rPr>
          <w:b w:val="1"/>
          <w:i w:val="1"/>
          <w:sz w:val="24"/>
          <w:szCs w:val="24"/>
          <w:rtl w:val="0"/>
        </w:rPr>
        <w:t xml:space="preserve">Guided Reflection Prompts  </w:t>
      </w:r>
      <w:r w:rsidDel="00000000" w:rsidR="00000000" w:rsidRPr="00000000">
        <w:rPr>
          <w:rtl w:val="0"/>
        </w:rPr>
        <w:t xml:space="preserve">In 2-3 pages, thoughtfully answer the prompts below: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i w:val="1"/>
        </w:rPr>
      </w:pPr>
      <w:r w:rsidDel="00000000" w:rsidR="00000000" w:rsidRPr="00000000">
        <w:rPr>
          <w:rtl w:val="0"/>
        </w:rPr>
        <w:t xml:space="preserve">A</w:t>
      </w:r>
      <w:r w:rsidDel="00000000" w:rsidR="00000000" w:rsidRPr="00000000">
        <w:rPr>
          <w:rtl w:val="0"/>
        </w:rPr>
        <w:t xml:space="preserve">nswer each prompt independently.  If you have collaborated with a colleague on the project, please be sure that your answers are a unique reflection of what you have </w:t>
      </w:r>
      <w:r w:rsidDel="00000000" w:rsidR="00000000" w:rsidRPr="00000000">
        <w:rPr>
          <w:rtl w:val="0"/>
        </w:rPr>
        <w:t xml:space="preserve">accomplished.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0">
      <w:pPr>
        <w:rPr>
          <w:b w:val="1"/>
          <w:i w:val="1"/>
        </w:rPr>
      </w:pPr>
      <w:r w:rsidDel="00000000" w:rsidR="00000000" w:rsidRPr="00000000">
        <w:rPr>
          <w:rtl w:val="0"/>
        </w:rPr>
      </w:r>
    </w:p>
    <w:p w:rsidR="00000000" w:rsidDel="00000000" w:rsidP="00000000" w:rsidRDefault="00000000" w:rsidRPr="00000000" w14:paraId="00000011">
      <w:pPr>
        <w:numPr>
          <w:ilvl w:val="0"/>
          <w:numId w:val="1"/>
        </w:numPr>
        <w:ind w:left="720" w:hanging="360"/>
        <w:rPr>
          <w:b w:val="1"/>
          <w:i w:val="1"/>
        </w:rPr>
      </w:pPr>
      <w:r w:rsidDel="00000000" w:rsidR="00000000" w:rsidRPr="00000000">
        <w:rPr>
          <w:b w:val="1"/>
          <w:i w:val="1"/>
          <w:rtl w:val="0"/>
        </w:rPr>
        <w:t xml:space="preserve">As you engaged in self-directed professional learning this summer, what did you discover were your greatest strengths and/or areas for professional growth?</w:t>
      </w:r>
    </w:p>
    <w:p w:rsidR="00000000" w:rsidDel="00000000" w:rsidP="00000000" w:rsidRDefault="00000000" w:rsidRPr="00000000" w14:paraId="00000012">
      <w:pPr>
        <w:ind w:left="720" w:firstLine="0"/>
        <w:rPr>
          <w:b w:val="1"/>
          <w:i w:val="1"/>
        </w:rPr>
      </w:pPr>
      <w:r w:rsidDel="00000000" w:rsidR="00000000" w:rsidRPr="00000000">
        <w:rPr>
          <w:rtl w:val="0"/>
        </w:rPr>
      </w:r>
    </w:p>
    <w:p w:rsidR="00000000" w:rsidDel="00000000" w:rsidP="00000000" w:rsidRDefault="00000000" w:rsidRPr="00000000" w14:paraId="00000013">
      <w:pPr>
        <w:numPr>
          <w:ilvl w:val="0"/>
          <w:numId w:val="1"/>
        </w:numPr>
        <w:ind w:left="720" w:hanging="360"/>
        <w:rPr>
          <w:b w:val="1"/>
          <w:i w:val="1"/>
        </w:rPr>
      </w:pPr>
      <w:r w:rsidDel="00000000" w:rsidR="00000000" w:rsidRPr="00000000">
        <w:rPr>
          <w:b w:val="1"/>
          <w:i w:val="1"/>
          <w:rtl w:val="0"/>
        </w:rPr>
        <w:t xml:space="preserve">Review the goals you set for EDUX 9955.  Were you able to accomplish what you set out to do?  Why? or Why not?  </w:t>
      </w:r>
    </w:p>
    <w:p w:rsidR="00000000" w:rsidDel="00000000" w:rsidP="00000000" w:rsidRDefault="00000000" w:rsidRPr="00000000" w14:paraId="00000014">
      <w:pPr>
        <w:ind w:left="720" w:firstLine="0"/>
        <w:rPr>
          <w:b w:val="1"/>
          <w:i w:val="1"/>
        </w:rPr>
      </w:pPr>
      <w:r w:rsidDel="00000000" w:rsidR="00000000" w:rsidRPr="00000000">
        <w:rPr>
          <w:rtl w:val="0"/>
        </w:rPr>
      </w:r>
    </w:p>
    <w:p w:rsidR="00000000" w:rsidDel="00000000" w:rsidP="00000000" w:rsidRDefault="00000000" w:rsidRPr="00000000" w14:paraId="00000015">
      <w:pPr>
        <w:numPr>
          <w:ilvl w:val="0"/>
          <w:numId w:val="1"/>
        </w:numPr>
        <w:ind w:left="720" w:hanging="360"/>
        <w:rPr>
          <w:b w:val="1"/>
          <w:i w:val="1"/>
        </w:rPr>
      </w:pPr>
      <w:r w:rsidDel="00000000" w:rsidR="00000000" w:rsidRPr="00000000">
        <w:rPr>
          <w:b w:val="1"/>
          <w:i w:val="1"/>
          <w:rtl w:val="0"/>
        </w:rPr>
        <w:t xml:space="preserve">Summarize how your work this summer will directly impact student achievement, your district’s initiatives, and/or your professional growth.</w:t>
      </w:r>
    </w:p>
    <w:p w:rsidR="00000000" w:rsidDel="00000000" w:rsidP="00000000" w:rsidRDefault="00000000" w:rsidRPr="00000000" w14:paraId="00000016">
      <w:pPr>
        <w:ind w:left="720" w:firstLine="0"/>
        <w:rPr>
          <w:b w:val="1"/>
          <w:i w:val="1"/>
        </w:rPr>
      </w:pPr>
      <w:r w:rsidDel="00000000" w:rsidR="00000000" w:rsidRPr="00000000">
        <w:rPr>
          <w:rtl w:val="0"/>
        </w:rPr>
      </w:r>
    </w:p>
    <w:p w:rsidR="00000000" w:rsidDel="00000000" w:rsidP="00000000" w:rsidRDefault="00000000" w:rsidRPr="00000000" w14:paraId="00000017">
      <w:pPr>
        <w:numPr>
          <w:ilvl w:val="0"/>
          <w:numId w:val="1"/>
        </w:numPr>
        <w:ind w:left="720" w:hanging="360"/>
        <w:rPr>
          <w:b w:val="1"/>
          <w:i w:val="1"/>
        </w:rPr>
      </w:pPr>
      <w:r w:rsidDel="00000000" w:rsidR="00000000" w:rsidRPr="00000000">
        <w:rPr>
          <w:b w:val="1"/>
          <w:i w:val="1"/>
          <w:rtl w:val="0"/>
        </w:rPr>
        <w:t xml:space="preserve">As a result of new and different professional learning and academic planning this summer, what were some of your most powerful learning moments and what made them so?</w:t>
      </w:r>
      <w:r w:rsidDel="00000000" w:rsidR="00000000" w:rsidRPr="00000000">
        <w:rPr>
          <w:rtl w:val="0"/>
        </w:rPr>
      </w:r>
    </w:p>
    <w:p w:rsidR="00000000" w:rsidDel="00000000" w:rsidP="00000000" w:rsidRDefault="00000000" w:rsidRPr="00000000" w14:paraId="00000018">
      <w:pPr>
        <w:ind w:left="720" w:firstLine="0"/>
        <w:rPr>
          <w:b w:val="1"/>
          <w:i w:val="1"/>
        </w:rPr>
      </w:pPr>
      <w:r w:rsidDel="00000000" w:rsidR="00000000" w:rsidRPr="00000000">
        <w:rPr>
          <w:rtl w:val="0"/>
        </w:rPr>
      </w:r>
    </w:p>
    <w:p w:rsidR="00000000" w:rsidDel="00000000" w:rsidP="00000000" w:rsidRDefault="00000000" w:rsidRPr="00000000" w14:paraId="00000019">
      <w:pPr>
        <w:widowControl w:val="0"/>
        <w:numPr>
          <w:ilvl w:val="0"/>
          <w:numId w:val="1"/>
        </w:numPr>
        <w:spacing w:after="404" w:line="265" w:lineRule="auto"/>
        <w:ind w:left="720" w:hanging="360"/>
        <w:rPr>
          <w:b w:val="1"/>
          <w:i w:val="1"/>
        </w:rPr>
      </w:pPr>
      <w:bookmarkStart w:colFirst="0" w:colLast="0" w:name="_50ff5nkjwvel" w:id="0"/>
      <w:bookmarkEnd w:id="0"/>
      <w:r w:rsidDel="00000000" w:rsidR="00000000" w:rsidRPr="00000000">
        <w:rPr>
          <w:b w:val="1"/>
          <w:i w:val="1"/>
          <w:rtl w:val="0"/>
        </w:rPr>
        <w:t xml:space="preserve">Based on your work in this course, describe the connection between professional preparedness and the impact on your educator well-being as you head into the 2021-2022 school year. </w:t>
      </w:r>
      <w:r w:rsidDel="00000000" w:rsidR="00000000" w:rsidRPr="00000000">
        <w:rPr>
          <w:rtl w:val="0"/>
        </w:rPr>
      </w:r>
    </w:p>
    <w:p w:rsidR="00000000" w:rsidDel="00000000" w:rsidP="00000000" w:rsidRDefault="00000000" w:rsidRPr="00000000" w14:paraId="0000001A">
      <w:pPr>
        <w:ind w:left="0" w:firstLine="0"/>
        <w:rPr>
          <w:color w:val="212121"/>
          <w:sz w:val="24"/>
          <w:szCs w:val="24"/>
          <w:highlight w:val="white"/>
        </w:rPr>
      </w:pPr>
      <w:r w:rsidDel="00000000" w:rsidR="00000000" w:rsidRPr="00000000">
        <w:rPr>
          <w:rtl w:val="0"/>
        </w:rPr>
      </w:r>
    </w:p>
    <w:p w:rsidR="00000000" w:rsidDel="00000000" w:rsidP="00000000" w:rsidRDefault="00000000" w:rsidRPr="00000000" w14:paraId="0000001B">
      <w:pPr>
        <w:ind w:left="0" w:firstLine="0"/>
        <w:rPr>
          <w:i w:val="1"/>
          <w:sz w:val="24"/>
          <w:szCs w:val="24"/>
        </w:rPr>
      </w:pPr>
      <w:r w:rsidDel="00000000" w:rsidR="00000000" w:rsidRPr="00000000">
        <w:rPr>
          <w:b w:val="1"/>
          <w:i w:val="1"/>
          <w:sz w:val="24"/>
          <w:szCs w:val="24"/>
          <w:rtl w:val="0"/>
        </w:rPr>
        <w:t xml:space="preserve">Section 2 - Standard(s) Alignment Reflection</w:t>
      </w:r>
      <w:r w:rsidDel="00000000" w:rsidR="00000000" w:rsidRPr="00000000">
        <w:rPr>
          <w:b w:val="1"/>
          <w:i w:val="1"/>
          <w:sz w:val="24"/>
          <w:szCs w:val="24"/>
          <w:rtl w:val="0"/>
        </w:rPr>
        <w:t xml:space="preserve">- </w:t>
      </w:r>
      <w:r w:rsidDel="00000000" w:rsidR="00000000" w:rsidRPr="00000000">
        <w:rPr>
          <w:i w:val="1"/>
          <w:sz w:val="24"/>
          <w:szCs w:val="24"/>
          <w:rtl w:val="0"/>
        </w:rPr>
        <w:t xml:space="preserve">E</w:t>
      </w:r>
      <w:r w:rsidDel="00000000" w:rsidR="00000000" w:rsidRPr="00000000">
        <w:rPr>
          <w:i w:val="1"/>
          <w:sz w:val="24"/>
          <w:szCs w:val="24"/>
          <w:rtl w:val="0"/>
        </w:rPr>
        <w:t xml:space="preserve">xplain how your work in this course aligns with the standards.* (These should be academic standards and/or professional standards applicable to your work this summer).  </w:t>
        <w:br w:type="textWrapping"/>
        <w:br w:type="textWrapping"/>
        <w:t xml:space="preserve">*</w:t>
      </w:r>
      <w:r w:rsidDel="00000000" w:rsidR="00000000" w:rsidRPr="00000000">
        <w:rPr>
          <w:b w:val="1"/>
          <w:i w:val="1"/>
          <w:sz w:val="24"/>
          <w:szCs w:val="24"/>
          <w:rtl w:val="0"/>
        </w:rPr>
        <w:t xml:space="preserve">Note: </w:t>
      </w:r>
      <w:r w:rsidDel="00000000" w:rsidR="00000000" w:rsidRPr="00000000">
        <w:rPr>
          <w:i w:val="1"/>
          <w:sz w:val="24"/>
          <w:szCs w:val="24"/>
          <w:rtl w:val="0"/>
        </w:rPr>
        <w:t xml:space="preserve">You may have done work with many standards.  Select the 2-3 most applicable standards/areas of focus.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b w:val="1"/>
          <w:i w:val="1"/>
        </w:rPr>
      </w:pPr>
      <w:r w:rsidDel="00000000" w:rsidR="00000000" w:rsidRPr="00000000">
        <w:rPr>
          <w:rtl w:val="0"/>
        </w:rPr>
      </w:r>
    </w:p>
    <w:tbl>
      <w:tblPr>
        <w:tblStyle w:val="Table2"/>
        <w:tblW w:w="9210.0" w:type="dxa"/>
        <w:jc w:val="left"/>
        <w:tblInd w:w="2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30"/>
        <w:gridCol w:w="4680"/>
        <w:tblGridChange w:id="0">
          <w:tblGrid>
            <w:gridCol w:w="4530"/>
            <w:gridCol w:w="468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1D">
            <w:pPr>
              <w:widowControl w:val="0"/>
              <w:spacing w:line="240" w:lineRule="auto"/>
              <w:jc w:val="center"/>
              <w:rPr>
                <w:b w:val="1"/>
              </w:rPr>
            </w:pPr>
            <w:r w:rsidDel="00000000" w:rsidR="00000000" w:rsidRPr="00000000">
              <w:rPr>
                <w:b w:val="1"/>
                <w:rtl w:val="0"/>
              </w:rPr>
              <w:t xml:space="preserve">State/District Standards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E">
            <w:pPr>
              <w:jc w:val="center"/>
              <w:rPr>
                <w:b w:val="1"/>
                <w:sz w:val="20"/>
                <w:szCs w:val="20"/>
              </w:rPr>
            </w:pPr>
            <w:r w:rsidDel="00000000" w:rsidR="00000000" w:rsidRPr="00000000">
              <w:rPr>
                <w:b w:val="1"/>
                <w:rtl w:val="0"/>
              </w:rPr>
              <w:t xml:space="preserve">E</w:t>
            </w:r>
            <w:r w:rsidDel="00000000" w:rsidR="00000000" w:rsidRPr="00000000">
              <w:rPr>
                <w:b w:val="1"/>
                <w:rtl w:val="0"/>
              </w:rPr>
              <w:t xml:space="preserve">xplain how your work in this course aligns with each standard</w:t>
            </w:r>
            <w:r w:rsidDel="00000000" w:rsidR="00000000" w:rsidRPr="00000000">
              <w:rPr>
                <w:b w:val="1"/>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ind w:left="720" w:firstLine="0"/>
              <w:rPr/>
            </w:pPr>
            <w:r w:rsidDel="00000000" w:rsidR="00000000" w:rsidRPr="00000000">
              <w:rPr>
                <w:rtl w:val="0"/>
              </w:rPr>
            </w:r>
          </w:p>
          <w:p w:rsidR="00000000" w:rsidDel="00000000" w:rsidP="00000000" w:rsidRDefault="00000000" w:rsidRPr="00000000" w14:paraId="0000002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ind w:left="72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pPr>
            <w:r w:rsidDel="00000000" w:rsidR="00000000" w:rsidRPr="00000000">
              <w:rPr>
                <w:rtl w:val="0"/>
              </w:rPr>
            </w:r>
          </w:p>
          <w:p w:rsidR="00000000" w:rsidDel="00000000" w:rsidP="00000000" w:rsidRDefault="00000000" w:rsidRPr="00000000" w14:paraId="00000026">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pPr>
            <w:r w:rsidDel="00000000" w:rsidR="00000000" w:rsidRPr="00000000">
              <w:rPr>
                <w:rtl w:val="0"/>
              </w:rPr>
            </w:r>
          </w:p>
          <w:p w:rsidR="00000000" w:rsidDel="00000000" w:rsidP="00000000" w:rsidRDefault="00000000" w:rsidRPr="00000000" w14:paraId="00000029">
            <w:pPr>
              <w:widowControl w:val="0"/>
              <w:spacing w:line="240" w:lineRule="auto"/>
              <w:rPr/>
            </w:pPr>
            <w:r w:rsidDel="00000000" w:rsidR="00000000" w:rsidRPr="00000000">
              <w:rPr>
                <w:rtl w:val="0"/>
              </w:rPr>
            </w:r>
          </w:p>
        </w:tc>
      </w:tr>
    </w:tbl>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left="0" w:firstLine="0"/>
        <w:rPr>
          <w:b w:val="1"/>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widowControl w:val="0"/>
      <w:tabs>
        <w:tab w:val="center" w:pos="4680"/>
        <w:tab w:val="right" w:pos="9360"/>
      </w:tabs>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EDUX 9955  Guided Reflection 1.10.21</w:t>
    </w:r>
  </w:p>
  <w:p w:rsidR="00000000" w:rsidDel="00000000" w:rsidP="00000000" w:rsidRDefault="00000000" w:rsidRPr="00000000" w14:paraId="0000002E">
    <w:pPr>
      <w:widowControl w:val="0"/>
      <w:tabs>
        <w:tab w:val="center" w:pos="4680"/>
        <w:tab w:val="right" w:pos="9360"/>
      </w:tabs>
      <w:spacing w:line="240" w:lineRule="auto"/>
      <w:jc w:val="center"/>
      <w:rPr/>
    </w:pPr>
    <w:r w:rsidDel="00000000" w:rsidR="00000000" w:rsidRPr="00000000">
      <w:rPr>
        <w:rFonts w:ascii="Calibri" w:cs="Calibri" w:eastAsia="Calibri" w:hAnsi="Calibri"/>
        <w:sz w:val="20"/>
        <w:szCs w:val="20"/>
        <w:rtl w:val="0"/>
      </w:rPr>
      <w:t xml:space="preserve">                               Page  </w:t>
    </w:r>
    <w:r w:rsidDel="00000000" w:rsidR="00000000" w:rsidRPr="00000000">
      <w:rPr>
        <w:rFonts w:ascii="Calibri" w:cs="Calibri" w:eastAsia="Calibri" w:hAnsi="Calibri"/>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widowControl w:val="0"/>
      <w:tabs>
        <w:tab w:val="center" w:pos="4680"/>
        <w:tab w:val="right" w:pos="9360"/>
      </w:tabs>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EDUX 9955  Guided Reflection 1.10.21</w:t>
    </w:r>
  </w:p>
  <w:p w:rsidR="00000000" w:rsidDel="00000000" w:rsidP="00000000" w:rsidRDefault="00000000" w:rsidRPr="00000000" w14:paraId="00000030">
    <w:pPr>
      <w:widowControl w:val="0"/>
      <w:tabs>
        <w:tab w:val="center" w:pos="4680"/>
        <w:tab w:val="right" w:pos="9360"/>
      </w:tabs>
      <w:spacing w:line="240" w:lineRule="auto"/>
      <w:jc w:val="center"/>
      <w:rPr/>
    </w:pPr>
    <w:r w:rsidDel="00000000" w:rsidR="00000000" w:rsidRPr="00000000">
      <w:rPr>
        <w:rFonts w:ascii="Calibri" w:cs="Calibri" w:eastAsia="Calibri" w:hAnsi="Calibri"/>
        <w:sz w:val="20"/>
        <w:szCs w:val="20"/>
        <w:rtl w:val="0"/>
      </w:rPr>
      <w:t xml:space="preserve">                           Page  </w:t>
    </w:r>
    <w:r w:rsidDel="00000000" w:rsidR="00000000" w:rsidRPr="00000000">
      <w:rPr>
        <w:rFonts w:ascii="Calibri" w:cs="Calibri" w:eastAsia="Calibri" w:hAnsi="Calibri"/>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724"/>
      </w:tabs>
      <w:spacing w:after="200" w:line="240" w:lineRule="auto"/>
      <w:jc w:val="left"/>
      <w:rPr>
        <w:rFonts w:ascii="Calibri" w:cs="Calibri" w:eastAsia="Calibri" w:hAnsi="Calibri"/>
        <w:color w:val="167fa8"/>
        <w:sz w:val="36"/>
        <w:szCs w:val="3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724"/>
      </w:tabs>
      <w:spacing w:after="200" w:line="240" w:lineRule="auto"/>
      <w:jc w:val="right"/>
      <w:rPr>
        <w:rFonts w:ascii="Calibri" w:cs="Calibri" w:eastAsia="Calibri" w:hAnsi="Calibri"/>
        <w:color w:val="167fa8"/>
        <w:sz w:val="36"/>
        <w:szCs w:val="36"/>
      </w:rPr>
    </w:pPr>
    <w:r w:rsidDel="00000000" w:rsidR="00000000" w:rsidRPr="00000000">
      <w:rPr>
        <w:rFonts w:ascii="Calibri" w:cs="Calibri" w:eastAsia="Calibri" w:hAnsi="Calibri"/>
        <w:color w:val="167fa8"/>
        <w:sz w:val="36"/>
        <w:szCs w:val="36"/>
        <w:rtl w:val="0"/>
      </w:rPr>
      <w:t xml:space="preserve">Name:_______________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1033"/>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b w:val="0"/>
      <w:color w:val="000000"/>
      <w:sz w:val="40"/>
      <w:szCs w:val="40"/>
      <w:vertAlign w:val="baseline"/>
    </w:rPr>
  </w:style>
  <w:style w:type="paragraph" w:styleId="Heading2">
    <w:name w:val="heading 2"/>
    <w:basedOn w:val="Normal"/>
    <w:next w:val="Normal"/>
    <w:pPr>
      <w:keepNext w:val="1"/>
      <w:keepLines w:val="1"/>
      <w:spacing w:after="120" w:before="360" w:line="276" w:lineRule="auto"/>
    </w:pPr>
    <w:rPr>
      <w:rFonts w:ascii="Arial" w:cs="Arial" w:eastAsia="Arial" w:hAnsi="Arial"/>
      <w:b w:val="0"/>
      <w:color w:val="000000"/>
      <w:sz w:val="32"/>
      <w:szCs w:val="32"/>
      <w:vertAlign w:val="baseline"/>
    </w:rPr>
  </w:style>
  <w:style w:type="paragraph" w:styleId="Heading3">
    <w:name w:val="heading 3"/>
    <w:basedOn w:val="Normal"/>
    <w:next w:val="Normal"/>
    <w:pPr>
      <w:keepNext w:val="1"/>
      <w:keepLines w:val="1"/>
      <w:spacing w:after="80" w:before="320" w:line="276" w:lineRule="auto"/>
    </w:pPr>
    <w:rPr>
      <w:rFonts w:ascii="Arial" w:cs="Arial" w:eastAsia="Arial" w:hAnsi="Arial"/>
      <w:b w:val="0"/>
      <w:color w:val="434343"/>
      <w:sz w:val="28"/>
      <w:szCs w:val="28"/>
      <w:vertAlign w:val="baseline"/>
    </w:rPr>
  </w:style>
  <w:style w:type="paragraph" w:styleId="Heading4">
    <w:name w:val="heading 4"/>
    <w:basedOn w:val="Normal"/>
    <w:next w:val="Normal"/>
    <w:pPr>
      <w:keepNext w:val="1"/>
      <w:keepLines w:val="1"/>
      <w:spacing w:after="80" w:before="280" w:line="276" w:lineRule="auto"/>
    </w:pPr>
    <w:rPr>
      <w:rFonts w:ascii="Arial" w:cs="Arial" w:eastAsia="Arial" w:hAnsi="Arial"/>
      <w:b w:val="0"/>
      <w:color w:val="666666"/>
      <w:sz w:val="24"/>
      <w:szCs w:val="24"/>
      <w:vertAlign w:val="baseline"/>
    </w:rPr>
  </w:style>
  <w:style w:type="paragraph" w:styleId="Heading5">
    <w:name w:val="heading 5"/>
    <w:basedOn w:val="Normal"/>
    <w:next w:val="Normal"/>
    <w:pPr>
      <w:keepNext w:val="1"/>
      <w:keepLines w:val="1"/>
      <w:spacing w:after="80" w:before="240" w:line="276" w:lineRule="auto"/>
    </w:pPr>
    <w:rPr>
      <w:rFonts w:ascii="Arial" w:cs="Arial" w:eastAsia="Arial" w:hAnsi="Arial"/>
      <w:b w:val="0"/>
      <w:color w:val="666666"/>
      <w:sz w:val="22"/>
      <w:szCs w:val="22"/>
      <w:vertAlign w:val="baseline"/>
    </w:rPr>
  </w:style>
  <w:style w:type="paragraph" w:styleId="Heading6">
    <w:name w:val="heading 6"/>
    <w:basedOn w:val="Normal"/>
    <w:next w:val="Normal"/>
    <w:pPr>
      <w:keepNext w:val="1"/>
      <w:keepLines w:val="1"/>
      <w:spacing w:after="80" w:before="240" w:line="276" w:lineRule="auto"/>
    </w:pPr>
    <w:rPr>
      <w:rFonts w:ascii="Arial" w:cs="Arial" w:eastAsia="Arial" w:hAnsi="Arial"/>
      <w:b w:val="0"/>
      <w:i w:val="1"/>
      <w:color w:val="666666"/>
      <w:sz w:val="22"/>
      <w:szCs w:val="22"/>
      <w:vertAlign w:val="baseline"/>
    </w:rPr>
  </w:style>
  <w:style w:type="paragraph" w:styleId="Title">
    <w:name w:val="Title"/>
    <w:basedOn w:val="Normal"/>
    <w:next w:val="Normal"/>
    <w:pPr>
      <w:keepNext w:val="1"/>
      <w:keepLines w:val="1"/>
      <w:spacing w:after="60" w:before="0" w:line="276" w:lineRule="auto"/>
    </w:pPr>
    <w:rPr>
      <w:rFonts w:ascii="Arial" w:cs="Arial" w:eastAsia="Arial" w:hAnsi="Arial"/>
      <w:b w:val="0"/>
      <w:color w:val="000000"/>
      <w:sz w:val="52"/>
      <w:szCs w:val="52"/>
      <w:vertAlign w:val="baseline"/>
    </w:rPr>
  </w:style>
  <w:style w:type="paragraph" w:styleId="Subtitle">
    <w:name w:val="Subtitle"/>
    <w:basedOn w:val="Normal"/>
    <w:next w:val="Normal"/>
    <w:pPr>
      <w:keepNext w:val="1"/>
      <w:keepLines w:val="1"/>
      <w:spacing w:after="320" w:before="0" w:line="276" w:lineRule="auto"/>
    </w:pPr>
    <w:rPr>
      <w:rFonts w:ascii="Arial" w:cs="Arial" w:eastAsia="Arial" w:hAnsi="Arial"/>
      <w:b w:val="0"/>
      <w:i w:val="0"/>
      <w:color w:val="666666"/>
      <w:sz w:val="30"/>
      <w:szCs w:val="30"/>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